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方正黑体简体"/>
          <w:color w:val="000000"/>
        </w:rPr>
      </w:pPr>
      <w:r>
        <w:rPr>
          <w:rFonts w:eastAsia="方正黑体简体"/>
          <w:color w:val="000000"/>
        </w:rPr>
        <w:t>附件6</w:t>
      </w:r>
    </w:p>
    <w:p>
      <w:pPr>
        <w:snapToGrid w:val="0"/>
        <w:spacing w:line="600" w:lineRule="exact"/>
        <w:jc w:val="center"/>
        <w:rPr>
          <w:rFonts w:eastAsia="方正黑体简体"/>
          <w:color w:val="000000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电梯检测试点电梯清单</w:t>
      </w:r>
    </w:p>
    <w:bookmarkEnd w:id="0"/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spacing w:line="420" w:lineRule="exact"/>
        <w:jc w:val="left"/>
        <w:rPr>
          <w:sz w:val="28"/>
          <w:szCs w:val="28"/>
        </w:rPr>
      </w:pPr>
    </w:p>
    <w:p>
      <w:pPr>
        <w:spacing w:line="420" w:lineRule="exact"/>
        <w:jc w:val="left"/>
        <w:rPr>
          <w:sz w:val="24"/>
        </w:rPr>
      </w:pPr>
      <w:r>
        <w:rPr>
          <w:sz w:val="24"/>
        </w:rPr>
        <w:t xml:space="preserve">申请单位名称：（公章）                                         联系人：                          联系电话：       </w:t>
      </w:r>
    </w:p>
    <w:tbl>
      <w:tblPr>
        <w:tblStyle w:val="3"/>
        <w:tblW w:w="1381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1151"/>
        <w:gridCol w:w="1151"/>
        <w:gridCol w:w="1151"/>
        <w:gridCol w:w="1151"/>
        <w:gridCol w:w="1151"/>
        <w:gridCol w:w="1152"/>
        <w:gridCol w:w="1152"/>
        <w:gridCol w:w="1152"/>
        <w:gridCol w:w="1152"/>
        <w:gridCol w:w="1152"/>
        <w:gridCol w:w="115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序号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电梯使用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登记证号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品种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梯龄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（年）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使用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单位名称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维保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单位名称</w:t>
            </w:r>
          </w:p>
        </w:tc>
        <w:tc>
          <w:tcPr>
            <w:tcW w:w="1152" w:type="dxa"/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使用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地点</w:t>
            </w:r>
          </w:p>
        </w:tc>
        <w:tc>
          <w:tcPr>
            <w:tcW w:w="1152" w:type="dxa"/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单位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自编号</w:t>
            </w: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检测方式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（自行检测、委托检测）</w:t>
            </w: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电梯承保机构</w:t>
            </w: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保险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有效期</w:t>
            </w: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电梯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检验</w:t>
            </w:r>
          </w:p>
          <w:p>
            <w:pPr>
              <w:spacing w:line="320" w:lineRule="exact"/>
              <w:jc w:val="center"/>
              <w:rPr>
                <w:rFonts w:eastAsia="方正黑体简体"/>
                <w:sz w:val="21"/>
                <w:szCs w:val="21"/>
              </w:rPr>
            </w:pPr>
            <w:r>
              <w:rPr>
                <w:rFonts w:eastAsia="方正黑体简体"/>
                <w:sz w:val="21"/>
                <w:szCs w:val="21"/>
              </w:rPr>
              <w:t>有效期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32E6D"/>
    <w:rsid w:val="2393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2020-11-25T08:26:00Z</dcterms:created>
  <dc:creator>admin</dc:creator>
  <cp:lastModifiedBy>admin</cp:lastModifiedBy>
  <dcterms:modified xsi:type="dcterms:W3CDTF">2020-11-25T08:26:52Z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